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6C" w:rsidRDefault="0091666C" w:rsidP="0091666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1666C" w:rsidRDefault="0091666C" w:rsidP="0091666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666C" w:rsidRPr="002E5C19" w:rsidRDefault="0091666C" w:rsidP="0091666C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Departemen Agama RI</w:t>
      </w:r>
      <w:r w:rsidRPr="0009423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Pr="0009423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Al-Qur’an dan Terjemahnya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 Syaamil Quran, Bandung, 2009.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Abd Aziz Dahlan,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Ensiklopedi Hukum Islam</w:t>
      </w:r>
      <w:r w:rsidRPr="0086298B">
        <w:rPr>
          <w:rFonts w:asciiTheme="majorBidi" w:hAnsiTheme="majorBidi" w:cstheme="majorBidi"/>
          <w:sz w:val="24"/>
          <w:szCs w:val="24"/>
        </w:rPr>
        <w:t>, Jilid IV, Cet. Ke-1, Ikhtiyar Baru Van Hoeve, Jakarta, 1997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Abdul Ghofur Anshori, Dkk,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Hukum Islam</w:t>
      </w:r>
      <w:r w:rsidRPr="0086298B">
        <w:rPr>
          <w:rFonts w:asciiTheme="majorBidi" w:hAnsiTheme="majorBidi" w:cstheme="majorBidi"/>
          <w:sz w:val="24"/>
          <w:szCs w:val="24"/>
        </w:rPr>
        <w:t>, Yogyakarta, Kreasi Total Media, 2008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Abdul Wahab Khalaf,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Ilmu Ushul Fikih</w:t>
      </w:r>
      <w:r w:rsidRPr="0086298B">
        <w:rPr>
          <w:rFonts w:asciiTheme="majorBidi" w:hAnsiTheme="majorBidi" w:cstheme="majorBidi"/>
          <w:sz w:val="24"/>
          <w:szCs w:val="24"/>
        </w:rPr>
        <w:t>, Dina Utama, Semarang, 1994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Abdurrahman Al Jazairy,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Kitab Al-Fiqh ‘ala Madzhahib Al-Arba’ah</w:t>
      </w:r>
      <w:r w:rsidRPr="0086298B">
        <w:rPr>
          <w:rFonts w:asciiTheme="majorBidi" w:hAnsiTheme="majorBidi" w:cstheme="majorBidi"/>
          <w:sz w:val="24"/>
          <w:szCs w:val="24"/>
        </w:rPr>
        <w:t>, Darul Ihya At-Turots Al-Araby, Beirut, Libanon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 xml:space="preserve">Kompilasi Hukum Islam di Indonesia, </w:t>
      </w:r>
      <w:r w:rsidRPr="0086298B">
        <w:rPr>
          <w:rFonts w:asciiTheme="majorBidi" w:hAnsiTheme="majorBidi" w:cstheme="majorBidi"/>
          <w:sz w:val="24"/>
          <w:szCs w:val="24"/>
        </w:rPr>
        <w:t>Cet. III, Akademika Pressindo, Jakarta, 1999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Ahmad Rofiq,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Hukum Islam di Indonesia</w:t>
      </w:r>
      <w:r w:rsidRPr="0086298B">
        <w:rPr>
          <w:rFonts w:asciiTheme="majorBidi" w:hAnsiTheme="majorBidi" w:cstheme="majorBidi"/>
          <w:sz w:val="24"/>
          <w:szCs w:val="24"/>
        </w:rPr>
        <w:t>, Jakarta, Raja Grafindo Persada, Ct. IV, 2000</w:t>
      </w:r>
      <w:r>
        <w:rPr>
          <w:rFonts w:asciiTheme="majorBidi" w:hAnsiTheme="majorBidi" w:cstheme="majorBidi"/>
          <w:sz w:val="24"/>
          <w:szCs w:val="24"/>
        </w:rPr>
        <w:t>.</w:t>
      </w:r>
      <w:r w:rsidRPr="0086298B">
        <w:rPr>
          <w:rFonts w:asciiTheme="majorBidi" w:hAnsiTheme="majorBidi" w:cstheme="majorBidi"/>
          <w:sz w:val="24"/>
          <w:szCs w:val="24"/>
        </w:rPr>
        <w:t xml:space="preserve"> </w:t>
      </w:r>
    </w:p>
    <w:p w:rsidR="0091666C" w:rsidRPr="0086298B" w:rsidRDefault="0091666C" w:rsidP="0091666C">
      <w:pPr>
        <w:spacing w:line="480" w:lineRule="auto"/>
        <w:jc w:val="both"/>
        <w:rPr>
          <w:rFonts w:ascii="TimesNewArabic" w:hAnsi="TimesNewArabic" w:cs="TimesNewArabic"/>
          <w:sz w:val="24"/>
          <w:szCs w:val="24"/>
        </w:rPr>
      </w:pPr>
      <w:r w:rsidRPr="0086298B">
        <w:rPr>
          <w:rFonts w:ascii="TimesNewArabic" w:hAnsi="TimesNewArabic" w:cs="TimesNewArabic"/>
          <w:sz w:val="24"/>
          <w:szCs w:val="24"/>
        </w:rPr>
        <w:t>Ahmad Rofiq, Hukum Islam di Indonesia, Raja Grafindo Persada, Jakarta, Cet.I, 1995</w:t>
      </w:r>
      <w:r>
        <w:rPr>
          <w:rFonts w:ascii="TimesNewArabic" w:hAnsi="TimesNewArabic" w:cs="TimesNewArabic"/>
          <w:sz w:val="24"/>
          <w:szCs w:val="24"/>
        </w:rPr>
        <w:t>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Ahmad Sururi, S. Ip., MA.,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Terjemah Bulughul Maram</w:t>
      </w:r>
      <w:r w:rsidRPr="0086298B">
        <w:rPr>
          <w:rFonts w:asciiTheme="majorBidi" w:hAnsiTheme="majorBidi" w:cstheme="majorBidi"/>
          <w:sz w:val="24"/>
          <w:szCs w:val="24"/>
        </w:rPr>
        <w:t>, Bint</w:t>
      </w:r>
      <w:r>
        <w:rPr>
          <w:rFonts w:asciiTheme="majorBidi" w:hAnsiTheme="majorBidi" w:cstheme="majorBidi"/>
          <w:sz w:val="24"/>
          <w:szCs w:val="24"/>
        </w:rPr>
        <w:t>ang Usaha Jaya, Surabaya, 2011.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Asy-Syatibi,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al-muwafaqaat, juz II</w:t>
      </w:r>
      <w:r w:rsidRPr="0086298B">
        <w:rPr>
          <w:rFonts w:asciiTheme="majorBidi" w:hAnsiTheme="majorBidi" w:cstheme="majorBidi"/>
          <w:sz w:val="24"/>
          <w:szCs w:val="24"/>
        </w:rPr>
        <w:t>, Darul Fikr, tt,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Az-Zuhayly, Wahbah, </w:t>
      </w:r>
      <w:r w:rsidRPr="0086298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Al-Fiqhu al-Islamiyyu wa Adillatuh</w:t>
      </w: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>, Jilid VII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dan IX, Damaskus, </w:t>
      </w:r>
      <w:r w:rsidRPr="0086298B">
        <w:rPr>
          <w:rFonts w:asciiTheme="majorBidi" w:hAnsiTheme="majorBidi" w:cstheme="majorBidi"/>
          <w:sz w:val="24"/>
          <w:szCs w:val="24"/>
        </w:rPr>
        <w:t>Dar al-Fikr al-Ma’ashir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 Cet. IV</w:t>
      </w: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19</w:t>
      </w: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>9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7.</w:t>
      </w:r>
    </w:p>
    <w:p w:rsidR="0091666C" w:rsidRDefault="0091666C" w:rsidP="0091666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6298B">
        <w:rPr>
          <w:rFonts w:asciiTheme="majorBidi" w:hAnsiTheme="majorBidi" w:cstheme="majorBidi"/>
          <w:sz w:val="24"/>
          <w:szCs w:val="24"/>
        </w:rPr>
        <w:lastRenderedPageBreak/>
        <w:t xml:space="preserve">Departemen Pendidikan dan Kebudayaan,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86298B">
        <w:rPr>
          <w:rFonts w:asciiTheme="majorBidi" w:hAnsiTheme="majorBidi" w:cstheme="majorBidi"/>
          <w:sz w:val="24"/>
          <w:szCs w:val="24"/>
        </w:rPr>
        <w:t>, Balai Pustaka, Jakarta, 1996,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Dr. Ahmad Junaidi,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Wasiat Wajibah Pergumulan Hukum Adat dan Hukum Islam di</w:t>
      </w:r>
      <w:r w:rsidRPr="0086298B">
        <w:rPr>
          <w:rFonts w:asciiTheme="majorBidi" w:hAnsiTheme="majorBidi" w:cstheme="majorBidi"/>
          <w:sz w:val="24"/>
          <w:szCs w:val="24"/>
        </w:rPr>
        <w:t xml:space="preserve"> Indonesia, Pustaka Pelajar, Yogyakarta,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629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Dr. Al Yasa Abu Bakar, </w:t>
      </w:r>
      <w:r w:rsidRPr="0086298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Mimbar Hukum No. 29 THN VII 1996</w:t>
      </w:r>
      <w:r w:rsidRPr="0086298B">
        <w:rPr>
          <w:rFonts w:ascii="Times New Roman" w:eastAsia="Times New Roman" w:hAnsi="Times New Roman" w:cs="Times New Roman"/>
          <w:sz w:val="24"/>
          <w:szCs w:val="24"/>
          <w:lang w:eastAsia="id-ID"/>
        </w:rPr>
        <w:t>,  Al Hikmah dan Ditbinbapera Islam, Jakarta, 1996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Dr. H. Abdul Manan, S.H., S.IP., M.Hum.,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Aneka Masalah Hukum Perdata Islam Di Indonesia</w:t>
      </w:r>
      <w:r w:rsidRPr="0086298B">
        <w:rPr>
          <w:rFonts w:asciiTheme="majorBidi" w:hAnsiTheme="majorBidi" w:cstheme="majorBidi"/>
          <w:sz w:val="24"/>
          <w:szCs w:val="24"/>
        </w:rPr>
        <w:t>, Kencana Prenada Media Group, Jakarta,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DR. H. Fathurrahman Djamil. M.A.,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Filsafat Hukum Islam</w:t>
      </w:r>
      <w:r w:rsidRPr="0086298B">
        <w:rPr>
          <w:rFonts w:asciiTheme="majorBidi" w:hAnsiTheme="majorBidi" w:cstheme="majorBidi"/>
          <w:sz w:val="24"/>
          <w:szCs w:val="24"/>
        </w:rPr>
        <w:t>, Logos Wacana Ilmu, Jakarta, 1999.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Dr. H. M. Fahmi Al Amruzi, M. Hum,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Rekonstruksi Wasiat Wajibah dalam Kompilasi Hukum Islam</w:t>
      </w:r>
      <w:r w:rsidRPr="0086298B">
        <w:rPr>
          <w:rFonts w:asciiTheme="majorBidi" w:hAnsiTheme="majorBidi" w:cstheme="majorBidi"/>
          <w:sz w:val="24"/>
          <w:szCs w:val="24"/>
        </w:rPr>
        <w:t>, Aswaja Pressindo, Yogyakarta,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Dr. M. Idris Ramulyo S.H.,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Perbandingan  Hukum Kewarisan Islam di Pengadilan Agama dengan Kewarisan Menurut Undang-Undang Hukum Perdata (BW) di Pengadilan Negeri (Suatu Studi Kasus)</w:t>
      </w:r>
      <w:r w:rsidRPr="0086298B">
        <w:rPr>
          <w:rFonts w:asciiTheme="majorBidi" w:hAnsiTheme="majorBidi" w:cstheme="majorBidi"/>
          <w:sz w:val="24"/>
          <w:szCs w:val="24"/>
        </w:rPr>
        <w:t>, Jakarta, Pedoman Ilmu Jaya, 1992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Dr.H. Didiek Ahmad Supadie, MM.,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Bimbingan Penulisan Ilmiah Buku Pintar Menulis Skripsi</w:t>
      </w:r>
      <w:r>
        <w:rPr>
          <w:rFonts w:asciiTheme="majorBidi" w:hAnsiTheme="majorBidi" w:cstheme="majorBidi"/>
          <w:sz w:val="24"/>
          <w:szCs w:val="24"/>
        </w:rPr>
        <w:t>, Unissula P</w:t>
      </w:r>
      <w:r w:rsidRPr="0086298B">
        <w:rPr>
          <w:rFonts w:asciiTheme="majorBidi" w:hAnsiTheme="majorBidi" w:cstheme="majorBidi"/>
          <w:sz w:val="24"/>
          <w:szCs w:val="24"/>
        </w:rPr>
        <w:t xml:space="preserve">ress, </w:t>
      </w:r>
      <w:r w:rsidRPr="0086298B">
        <w:rPr>
          <w:rFonts w:asciiTheme="majorBidi" w:eastAsia="Calibri" w:hAnsiTheme="majorBidi" w:cstheme="majorBidi"/>
          <w:sz w:val="24"/>
          <w:szCs w:val="24"/>
        </w:rPr>
        <w:t>Semarang</w:t>
      </w:r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2015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Drs. Fatchur Rahman,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Ilmu Waris</w:t>
      </w:r>
      <w:r w:rsidRPr="0086298B">
        <w:rPr>
          <w:rFonts w:asciiTheme="majorBidi" w:hAnsiTheme="majorBidi" w:cstheme="majorBidi"/>
          <w:sz w:val="24"/>
          <w:szCs w:val="24"/>
        </w:rPr>
        <w:t>, PT. Al-Ma’arif, Bandung, 1981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Drs. H. Nasrun Haroen,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Ushul Fiqh I</w:t>
      </w:r>
      <w:r w:rsidRPr="0086298B">
        <w:rPr>
          <w:rFonts w:asciiTheme="majorBidi" w:hAnsiTheme="majorBidi" w:cstheme="majorBidi"/>
          <w:sz w:val="24"/>
          <w:szCs w:val="24"/>
        </w:rPr>
        <w:t>, Logos Publishing House, Jakarta, 1996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Evy khristiana,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”Status Anak Angkat Menurut Kompilasi Hukum Islam”</w:t>
      </w:r>
      <w:r w:rsidRPr="0086298B">
        <w:rPr>
          <w:rFonts w:asciiTheme="majorBidi" w:hAnsiTheme="majorBidi" w:cstheme="majorBidi"/>
          <w:sz w:val="24"/>
          <w:szCs w:val="24"/>
        </w:rPr>
        <w:t>, Skripsi Sarjana (S1), Fakultas Ilmu Sosial Unnes, Semarang, 2005, hlm. 42, t.d.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lastRenderedPageBreak/>
        <w:t>Fazlur Rahman, Islam, Pustaka, Bandung,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sz w:val="24"/>
          <w:szCs w:val="24"/>
        </w:rPr>
      </w:pPr>
      <w:hyperlink r:id="rId6" w:history="1">
        <w:r w:rsidRPr="008629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d-ID"/>
          </w:rPr>
          <w:t>http://putri10_manshlm..blogspot.com/2012/10/02/waris-wajibah.html</w:t>
        </w:r>
      </w:hyperlink>
      <w:r w:rsidRPr="0086298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tanggal 19 September 2016. 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86298B">
          <w:rPr>
            <w:rStyle w:val="Hyperlink"/>
            <w:rFonts w:asciiTheme="majorBidi" w:hAnsiTheme="majorBidi" w:cstheme="majorBidi"/>
            <w:sz w:val="24"/>
            <w:szCs w:val="24"/>
          </w:rPr>
          <w:t>http://tintapenaamhy.blogspot.co.id/2013/12/polemik-kompilasi-hukum-islam-di.html</w:t>
        </w:r>
      </w:hyperlink>
      <w:r w:rsidRPr="0086298B">
        <w:rPr>
          <w:rFonts w:asciiTheme="majorBidi" w:hAnsiTheme="majorBidi" w:cstheme="majorBidi"/>
          <w:sz w:val="24"/>
          <w:szCs w:val="24"/>
        </w:rPr>
        <w:t xml:space="preserve"> diakses tanggal 22 Oktober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F422E5" w:rsidRDefault="0091666C" w:rsidP="0091666C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hyperlink r:id="rId8" w:history="1">
        <w:r w:rsidRPr="008629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id-ID"/>
          </w:rPr>
          <w:t>http://zarkasyi.blogspot.com/2012/10/12/ makalah-wasiat-wajibah.html</w:t>
        </w:r>
      </w:hyperlink>
      <w:r w:rsidRPr="008629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r w:rsidRPr="00F422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diakses tanggal 20 September 2016.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Irawan Soehartono,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Metode Penelitian Sosial</w:t>
      </w:r>
      <w:r w:rsidRPr="0086298B">
        <w:rPr>
          <w:rFonts w:asciiTheme="majorBidi" w:hAnsiTheme="majorBidi" w:cstheme="majorBidi"/>
          <w:sz w:val="24"/>
          <w:szCs w:val="24"/>
        </w:rPr>
        <w:t>, Cet. IV, PT. Remaja Rosdakarya, Bandung,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Ismuha,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Penggantian Tempat Dalam Hukum Waris Menurut KUH Perdata, Hukum Adat, dan Hukum Islam</w:t>
      </w:r>
      <w:r w:rsidRPr="0086298B">
        <w:rPr>
          <w:rFonts w:asciiTheme="majorBidi" w:hAnsiTheme="majorBidi" w:cstheme="majorBidi"/>
          <w:sz w:val="24"/>
          <w:szCs w:val="24"/>
        </w:rPr>
        <w:t>, Bulan Bintang, Jakarta, 1978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KH. Ahmad Mudjab Mahath, H. Ahmad Rodli,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Hadis Hadis Mutafaq</w:t>
      </w:r>
      <w:r w:rsidRPr="0086298B">
        <w:rPr>
          <w:rFonts w:asciiTheme="majorBidi" w:hAnsiTheme="majorBidi" w:cstheme="majorBidi"/>
          <w:sz w:val="24"/>
          <w:szCs w:val="24"/>
        </w:rPr>
        <w:t xml:space="preserve">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‘Alaih</w:t>
      </w:r>
      <w:r w:rsidRPr="0086298B">
        <w:rPr>
          <w:rFonts w:asciiTheme="majorBidi" w:hAnsiTheme="majorBidi" w:cstheme="majorBidi"/>
          <w:sz w:val="24"/>
          <w:szCs w:val="24"/>
        </w:rPr>
        <w:t>, Jakarta,  Fajar Inter Pratama Offset,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M. Idris Ramulyo,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Perbandingan Pelaksanaan Hukum Kewarisan Islam dengan Kewarisan Menurut Hukum Perdata</w:t>
      </w:r>
      <w:r w:rsidRPr="0086298B">
        <w:rPr>
          <w:rFonts w:asciiTheme="majorBidi" w:hAnsiTheme="majorBidi" w:cstheme="majorBidi"/>
          <w:sz w:val="24"/>
          <w:szCs w:val="24"/>
        </w:rPr>
        <w:t xml:space="preserve"> (BW), Jakarta, Sinar Grafika,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autoSpaceDE w:val="0"/>
        <w:autoSpaceDN w:val="0"/>
        <w:adjustRightInd w:val="0"/>
        <w:spacing w:after="0" w:line="480" w:lineRule="auto"/>
        <w:jc w:val="both"/>
        <w:rPr>
          <w:rFonts w:ascii="TimesNewArabic" w:hAnsi="TimesNewArabic" w:cs="TimesNewArabic"/>
          <w:sz w:val="24"/>
          <w:szCs w:val="24"/>
        </w:rPr>
      </w:pPr>
      <w:r w:rsidRPr="0086298B">
        <w:rPr>
          <w:rFonts w:ascii="TimesNewArabic" w:hAnsi="TimesNewArabic" w:cs="TimesNewArabic"/>
          <w:sz w:val="24"/>
          <w:szCs w:val="24"/>
        </w:rPr>
        <w:t xml:space="preserve">Moh. Daud Ali, </w:t>
      </w:r>
      <w:r w:rsidRPr="0086298B">
        <w:rPr>
          <w:rFonts w:ascii="TimesNewArabic" w:hAnsi="TimesNewArabic" w:cs="TimesNewArabic"/>
          <w:i/>
          <w:iCs/>
          <w:sz w:val="24"/>
          <w:szCs w:val="24"/>
        </w:rPr>
        <w:t>Hukum Islam dan Peradilan</w:t>
      </w:r>
      <w:r w:rsidRPr="0086298B">
        <w:rPr>
          <w:rFonts w:ascii="TimesNewArabic" w:hAnsi="TimesNewArabic" w:cs="TimesNewArabic"/>
          <w:sz w:val="24"/>
          <w:szCs w:val="24"/>
        </w:rPr>
        <w:t xml:space="preserve"> Agama, Jakarta: PT Raja Grafindo Persada,1997</w:t>
      </w:r>
      <w:r>
        <w:rPr>
          <w:rFonts w:ascii="TimesNewArabic" w:hAnsi="TimesNewArabic" w:cs="TimesNewArabic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>Muderis Zaini,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 xml:space="preserve"> Adopsi</w:t>
      </w:r>
      <w:r w:rsidRPr="0086298B">
        <w:rPr>
          <w:rFonts w:asciiTheme="majorBidi" w:hAnsiTheme="majorBidi" w:cstheme="majorBidi"/>
          <w:sz w:val="24"/>
          <w:szCs w:val="24"/>
        </w:rPr>
        <w:t xml:space="preserve">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Suatu Tinjauan dari Tiga Sistem Hukum</w:t>
      </w:r>
      <w:r w:rsidRPr="0086298B">
        <w:rPr>
          <w:rFonts w:asciiTheme="majorBidi" w:hAnsiTheme="majorBidi" w:cstheme="majorBidi"/>
          <w:sz w:val="24"/>
          <w:szCs w:val="24"/>
        </w:rPr>
        <w:t>, Sinar Grafika, Jakarta,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Muhammad Daud Ali,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Hukum Islam</w:t>
      </w:r>
      <w:r w:rsidRPr="0086298B">
        <w:rPr>
          <w:rFonts w:asciiTheme="majorBidi" w:hAnsiTheme="majorBidi" w:cstheme="majorBidi"/>
          <w:sz w:val="24"/>
          <w:szCs w:val="24"/>
        </w:rPr>
        <w:t>, PT Raja Grafindo Persada, Jakarta,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>Prof. DR. Tm. Hasbi Ash-Shiddiqy, Pengantar Hukum Islam, Jilid II, Bulan Bintang, Jakarta, 1981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lastRenderedPageBreak/>
        <w:t xml:space="preserve">Prof. H. Alaiddin Koto, M.A.,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Ilmu Fiqih Dan Ushul Fiqih</w:t>
      </w:r>
      <w:r w:rsidRPr="0086298B">
        <w:rPr>
          <w:rFonts w:asciiTheme="majorBidi" w:hAnsiTheme="majorBidi" w:cstheme="majorBidi"/>
          <w:sz w:val="24"/>
          <w:szCs w:val="24"/>
        </w:rPr>
        <w:t>, Cet. Ke-1, Raja Grafindo Persada, Jakarta,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Prof. H. Mohammad Daud Ali, S.H.,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Hukum Islam</w:t>
      </w:r>
      <w:r w:rsidRPr="0086298B">
        <w:rPr>
          <w:rFonts w:asciiTheme="majorBidi" w:hAnsiTheme="majorBidi" w:cstheme="majorBidi"/>
          <w:sz w:val="24"/>
          <w:szCs w:val="24"/>
        </w:rPr>
        <w:t>, PT Raja Grafindo Persada, Jakarta,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>Roihan Rasyid,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 xml:space="preserve"> Pengganti Ahli Waris dan Wasiat Wajibah, di dalam: Kompilasi Hukum</w:t>
      </w:r>
      <w:r w:rsidRPr="0086298B">
        <w:rPr>
          <w:rFonts w:asciiTheme="majorBidi" w:hAnsiTheme="majorBidi" w:cstheme="majorBidi"/>
          <w:sz w:val="24"/>
          <w:szCs w:val="24"/>
        </w:rPr>
        <w:t xml:space="preserve">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Islam</w:t>
      </w:r>
      <w:r w:rsidRPr="0086298B">
        <w:rPr>
          <w:rFonts w:asciiTheme="majorBidi" w:hAnsiTheme="majorBidi" w:cstheme="majorBidi"/>
          <w:sz w:val="24"/>
          <w:szCs w:val="24"/>
        </w:rPr>
        <w:t>, penyunting Cik Hasan Bisri Jakarta:Logos Wacana Ilmu, 1999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6298B">
        <w:rPr>
          <w:rFonts w:asciiTheme="majorBidi" w:eastAsia="Calibri" w:hAnsiTheme="majorBidi" w:cstheme="majorBidi"/>
          <w:sz w:val="24"/>
          <w:szCs w:val="24"/>
        </w:rPr>
        <w:t xml:space="preserve">Sarjuni, S. Ag., M. Hum., </w:t>
      </w:r>
      <w:r w:rsidRPr="0086298B">
        <w:rPr>
          <w:rFonts w:asciiTheme="majorBidi" w:eastAsia="Calibri" w:hAnsiTheme="majorBidi" w:cstheme="majorBidi"/>
          <w:i/>
          <w:iCs/>
          <w:sz w:val="24"/>
          <w:szCs w:val="24"/>
        </w:rPr>
        <w:t>Langkah Sukses Menulis Skripsi</w:t>
      </w:r>
      <w:r w:rsidRPr="0086298B">
        <w:rPr>
          <w:rFonts w:asciiTheme="majorBidi" w:eastAsia="Calibri" w:hAnsiTheme="majorBidi" w:cstheme="majorBidi"/>
          <w:sz w:val="24"/>
          <w:szCs w:val="24"/>
        </w:rPr>
        <w:t>, Unissula Press, Semarang</w:t>
      </w:r>
      <w:r w:rsidRPr="0086298B">
        <w:rPr>
          <w:rFonts w:asciiTheme="majorBidi" w:eastAsia="Calibri" w:hAnsiTheme="majorBidi" w:cstheme="majorBidi"/>
          <w:i/>
          <w:iCs/>
          <w:sz w:val="24"/>
          <w:szCs w:val="24"/>
        </w:rPr>
        <w:t>,</w:t>
      </w:r>
      <w:r w:rsidRPr="0086298B">
        <w:rPr>
          <w:rFonts w:asciiTheme="majorBidi" w:eastAsia="Calibri" w:hAnsiTheme="majorBidi" w:cstheme="majorBidi"/>
          <w:sz w:val="24"/>
          <w:szCs w:val="24"/>
        </w:rPr>
        <w:t xml:space="preserve"> 2010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>Sayyid Sabiq, </w:t>
      </w:r>
      <w:r w:rsidRPr="0086298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Fiqih Sunnah</w:t>
      </w: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jilid 4</w:t>
      </w:r>
      <w:r w:rsidRPr="0086298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, </w:t>
      </w:r>
      <w:r w:rsidRPr="0086298B">
        <w:rPr>
          <w:rFonts w:asciiTheme="majorBidi" w:eastAsia="Times New Roman" w:hAnsiTheme="majorBidi" w:cstheme="majorBidi"/>
          <w:sz w:val="24"/>
          <w:szCs w:val="24"/>
          <w:lang w:eastAsia="id-ID"/>
        </w:rPr>
        <w:t>(Jakarta: Pena Pundi Aksara, 2008). 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Shopia Hadyanto,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Kitab Undang-Undang Hukum Perdata</w:t>
      </w:r>
      <w:r w:rsidRPr="0086298B">
        <w:rPr>
          <w:rFonts w:asciiTheme="majorBidi" w:hAnsiTheme="majorBidi" w:cstheme="majorBidi"/>
          <w:sz w:val="24"/>
          <w:szCs w:val="24"/>
        </w:rPr>
        <w:t>, Softmedia, Jakarta,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Sudarso,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Pokok-Pokok Hukum Islam</w:t>
      </w:r>
      <w:r w:rsidRPr="0086298B">
        <w:rPr>
          <w:rFonts w:asciiTheme="majorBidi" w:hAnsiTheme="majorBidi" w:cstheme="majorBidi"/>
          <w:sz w:val="24"/>
          <w:szCs w:val="24"/>
        </w:rPr>
        <w:t>, Rineka Cipta, Jakarta,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666C" w:rsidRPr="0086298B" w:rsidRDefault="0091666C" w:rsidP="0091666C">
      <w:pPr>
        <w:autoSpaceDE w:val="0"/>
        <w:autoSpaceDN w:val="0"/>
        <w:adjustRightInd w:val="0"/>
        <w:spacing w:after="0" w:line="480" w:lineRule="auto"/>
        <w:jc w:val="both"/>
        <w:rPr>
          <w:rFonts w:ascii="TimesNewArabic" w:hAnsi="TimesNewArabic" w:cs="TimesNewArabic"/>
          <w:sz w:val="24"/>
          <w:szCs w:val="24"/>
        </w:rPr>
      </w:pPr>
      <w:r w:rsidRPr="0086298B">
        <w:rPr>
          <w:rFonts w:ascii="TimesNewArabic" w:hAnsi="TimesNewArabic" w:cs="TimesNewArabic"/>
          <w:sz w:val="24"/>
          <w:szCs w:val="24"/>
        </w:rPr>
        <w:t xml:space="preserve">Suparman Usman dan Yusuf Somawinata, </w:t>
      </w:r>
      <w:r w:rsidRPr="0086298B">
        <w:rPr>
          <w:rFonts w:ascii="TimesNewArabic" w:hAnsi="TimesNewArabic" w:cs="TimesNewArabic"/>
          <w:i/>
          <w:iCs/>
          <w:sz w:val="24"/>
          <w:szCs w:val="24"/>
        </w:rPr>
        <w:t>Fiqih mawarits Hukum Kewarisan Islam</w:t>
      </w:r>
      <w:r w:rsidRPr="0086298B">
        <w:rPr>
          <w:rFonts w:ascii="TimesNewArabic" w:hAnsi="TimesNewArabic" w:cs="TimesNewArabic"/>
          <w:sz w:val="24"/>
          <w:szCs w:val="24"/>
        </w:rPr>
        <w:t xml:space="preserve">, </w:t>
      </w:r>
      <w:r>
        <w:rPr>
          <w:rFonts w:ascii="TimesNewArabic" w:hAnsi="TimesNewArabic" w:cs="TimesNewArabic"/>
          <w:sz w:val="24"/>
          <w:szCs w:val="24"/>
        </w:rPr>
        <w:t>Jakarta: G</w:t>
      </w:r>
      <w:r w:rsidRPr="0086298B">
        <w:rPr>
          <w:rFonts w:ascii="TimesNewArabic" w:hAnsi="TimesNewArabic" w:cs="TimesNewArabic"/>
          <w:sz w:val="24"/>
          <w:szCs w:val="24"/>
        </w:rPr>
        <w:t>aya Media Pratama, 1997</w:t>
      </w:r>
      <w:r>
        <w:rPr>
          <w:rFonts w:ascii="TimesNewArabic" w:hAnsi="TimesNewArabic" w:cs="TimesNewArabic"/>
          <w:sz w:val="24"/>
          <w:szCs w:val="24"/>
        </w:rPr>
        <w:t>.</w:t>
      </w:r>
    </w:p>
    <w:p w:rsidR="0091666C" w:rsidRPr="0086298B" w:rsidRDefault="0091666C" w:rsidP="0091666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298B">
        <w:rPr>
          <w:rFonts w:asciiTheme="majorBidi" w:hAnsiTheme="majorBidi" w:cstheme="majorBidi"/>
          <w:sz w:val="24"/>
          <w:szCs w:val="24"/>
        </w:rPr>
        <w:t xml:space="preserve">Supraman Usman, Yusuf Somawinata, </w:t>
      </w:r>
      <w:r w:rsidRPr="0086298B">
        <w:rPr>
          <w:rFonts w:asciiTheme="majorBidi" w:hAnsiTheme="majorBidi" w:cstheme="majorBidi"/>
          <w:i/>
          <w:iCs/>
          <w:sz w:val="24"/>
          <w:szCs w:val="24"/>
        </w:rPr>
        <w:t>Fiqih Mawaris</w:t>
      </w:r>
      <w:r w:rsidRPr="0086298B">
        <w:rPr>
          <w:rFonts w:asciiTheme="majorBidi" w:hAnsiTheme="majorBidi" w:cstheme="majorBidi"/>
          <w:sz w:val="24"/>
          <w:szCs w:val="24"/>
        </w:rPr>
        <w:t>, Gaya Media Pratama, Jakarta,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39CF" w:rsidRDefault="008939CF"/>
    <w:sectPr w:rsidR="008939CF" w:rsidSect="00916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6C" w:rsidRDefault="0091666C" w:rsidP="0091666C">
      <w:pPr>
        <w:spacing w:after="0" w:line="240" w:lineRule="auto"/>
      </w:pPr>
      <w:r>
        <w:separator/>
      </w:r>
    </w:p>
  </w:endnote>
  <w:endnote w:type="continuationSeparator" w:id="0">
    <w:p w:rsidR="0091666C" w:rsidRDefault="0091666C" w:rsidP="0091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Arab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168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1666C" w:rsidRDefault="00916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1666C" w:rsidRDefault="00916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6C" w:rsidRDefault="0091666C" w:rsidP="0091666C">
      <w:pPr>
        <w:spacing w:after="0" w:line="240" w:lineRule="auto"/>
      </w:pPr>
      <w:r>
        <w:separator/>
      </w:r>
    </w:p>
  </w:footnote>
  <w:footnote w:type="continuationSeparator" w:id="0">
    <w:p w:rsidR="0091666C" w:rsidRDefault="0091666C" w:rsidP="0091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C"/>
    <w:rsid w:val="008939CF"/>
    <w:rsid w:val="009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B663-269E-4FBE-BCFB-28ABC54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6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66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6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6C"/>
  </w:style>
  <w:style w:type="paragraph" w:styleId="Footer">
    <w:name w:val="footer"/>
    <w:basedOn w:val="Normal"/>
    <w:link w:val="FooterChar"/>
    <w:uiPriority w:val="99"/>
    <w:unhideWhenUsed/>
    <w:rsid w:val="0091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kasyi.blogspot.com/2012/10/12/%20makalah-wasiat-wajibah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intapenaamhy.blogspot.co.id/2013/12/polemik-kompilasi-hukum-islam-d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tri10_manshal.blogspot.com/2012/10/02/waris-wajibah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2017-10-04T20:21:00Z</dcterms:created>
  <dcterms:modified xsi:type="dcterms:W3CDTF">2017-10-04T20:23:00Z</dcterms:modified>
</cp:coreProperties>
</file>