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83" w:rsidRPr="00D62A12" w:rsidRDefault="00C00583" w:rsidP="00C00583">
      <w:pPr>
        <w:pStyle w:val="Heading1"/>
      </w:pPr>
      <w:bookmarkStart w:id="0" w:name="_Toc507648441"/>
      <w:r w:rsidRPr="00D62A12">
        <w:t>ABST</w:t>
      </w:r>
      <w:r>
        <w:t>RACT</w:t>
      </w:r>
      <w:bookmarkEnd w:id="0"/>
    </w:p>
    <w:p w:rsidR="00C00583" w:rsidRPr="00101030" w:rsidRDefault="00C00583" w:rsidP="00C00583">
      <w:pPr>
        <w:spacing w:after="0" w:line="240" w:lineRule="auto"/>
        <w:jc w:val="both"/>
        <w:rPr>
          <w:rFonts w:ascii="Times New Roman" w:eastAsia="Calibri" w:hAnsi="Times New Roman" w:cs="Times New Roman"/>
          <w:color w:val="000000" w:themeColor="text1"/>
          <w:sz w:val="24"/>
          <w:szCs w:val="24"/>
        </w:rPr>
      </w:pPr>
      <w:r w:rsidRPr="00D62A12">
        <w:rPr>
          <w:rFonts w:ascii="Times New Roman" w:hAnsi="Times New Roman" w:cs="Times New Roman"/>
          <w:sz w:val="24"/>
          <w:szCs w:val="24"/>
          <w:lang w:val="en"/>
        </w:rPr>
        <w:t>This study aims to analyze the liquidity risk of sharia banks in Indonesia period 2014-2016. liquidity is what will be achieved by a banking system, therefore banks are trying to increase liquid funds to minimize liquidity risk, by knowing what factors can affect liquidity risk, it will be easier for banks to prepare liquid funds, many factors may affect liquidity risk but research it only discusses several factors that may</w:t>
      </w:r>
      <w:r>
        <w:rPr>
          <w:rFonts w:ascii="Times New Roman" w:hAnsi="Times New Roman" w:cs="Times New Roman"/>
          <w:sz w:val="24"/>
          <w:szCs w:val="24"/>
          <w:lang w:val="en"/>
        </w:rPr>
        <w:t xml:space="preserve"> affect liquidity risk such as bank capitalization, capital a</w:t>
      </w:r>
      <w:r w:rsidRPr="00D62A12">
        <w:rPr>
          <w:rFonts w:ascii="Times New Roman" w:hAnsi="Times New Roman" w:cs="Times New Roman"/>
          <w:sz w:val="24"/>
          <w:szCs w:val="24"/>
          <w:lang w:val="en"/>
        </w:rPr>
        <w:t>dequacy</w:t>
      </w:r>
      <w:r>
        <w:rPr>
          <w:rFonts w:ascii="Times New Roman" w:hAnsi="Times New Roman" w:cs="Times New Roman"/>
          <w:sz w:val="24"/>
          <w:szCs w:val="24"/>
        </w:rPr>
        <w:t xml:space="preserve"> ratio</w:t>
      </w:r>
      <w:r w:rsidRPr="00D62A12">
        <w:rPr>
          <w:rFonts w:ascii="Times New Roman" w:hAnsi="Times New Roman" w:cs="Times New Roman"/>
          <w:sz w:val="24"/>
          <w:szCs w:val="24"/>
          <w:lang w:val="en"/>
        </w:rPr>
        <w:t xml:space="preserve">, Inflation and </w:t>
      </w:r>
      <w:r w:rsidRPr="00FA5F73">
        <w:rPr>
          <w:rFonts w:ascii="Times New Roman" w:eastAsia="Calibri" w:hAnsi="Times New Roman" w:cs="Times New Roman"/>
          <w:color w:val="000000" w:themeColor="text1"/>
          <w:sz w:val="24"/>
          <w:szCs w:val="24"/>
        </w:rPr>
        <w:t>non performing financing</w:t>
      </w:r>
      <w:r w:rsidRPr="00D62A12">
        <w:rPr>
          <w:rFonts w:ascii="Times New Roman" w:hAnsi="Times New Roman" w:cs="Times New Roman"/>
          <w:sz w:val="24"/>
          <w:szCs w:val="24"/>
          <w:lang w:val="en"/>
        </w:rPr>
        <w:t xml:space="preserve">. The purpose of this study is to determine the risk factor of sharia banking liquidity in Indonesia. Data obtained from the annual report of each sharia bank which amounted to 13 banks. The analysis of the data in this study using EVIEWS 9 resulted that </w:t>
      </w:r>
      <w:r w:rsidRPr="00FA5F73">
        <w:rPr>
          <w:rFonts w:ascii="Times New Roman" w:eastAsia="Calibri" w:hAnsi="Times New Roman" w:cs="Times New Roman"/>
          <w:color w:val="000000" w:themeColor="text1"/>
          <w:sz w:val="24"/>
          <w:szCs w:val="24"/>
        </w:rPr>
        <w:t>non performing financing</w:t>
      </w:r>
      <w:r w:rsidRPr="00D62A12">
        <w:rPr>
          <w:rFonts w:ascii="Times New Roman" w:hAnsi="Times New Roman" w:cs="Times New Roman"/>
          <w:sz w:val="24"/>
          <w:szCs w:val="24"/>
          <w:lang w:val="en"/>
        </w:rPr>
        <w:t xml:space="preserve"> has a significant positive result to liquidity risk, Capital Adequacy Ratio has negative </w:t>
      </w:r>
      <w:proofErr w:type="spellStart"/>
      <w:r w:rsidRPr="00D62A12">
        <w:rPr>
          <w:rFonts w:ascii="Times New Roman" w:hAnsi="Times New Roman" w:cs="Times New Roman"/>
          <w:sz w:val="24"/>
          <w:szCs w:val="24"/>
          <w:lang w:val="en"/>
        </w:rPr>
        <w:t>non significant</w:t>
      </w:r>
      <w:proofErr w:type="spellEnd"/>
      <w:r w:rsidRPr="00D62A12">
        <w:rPr>
          <w:rFonts w:ascii="Times New Roman" w:hAnsi="Times New Roman" w:cs="Times New Roman"/>
          <w:sz w:val="24"/>
          <w:szCs w:val="24"/>
          <w:lang w:val="en"/>
        </w:rPr>
        <w:t xml:space="preserve"> result to </w:t>
      </w:r>
      <w:r w:rsidRPr="00FA5F73">
        <w:rPr>
          <w:rFonts w:ascii="Times New Roman" w:eastAsia="Calibri" w:hAnsi="Times New Roman" w:cs="Times New Roman"/>
          <w:color w:val="000000" w:themeColor="text1"/>
          <w:sz w:val="24"/>
          <w:szCs w:val="24"/>
        </w:rPr>
        <w:t>non performing financing</w:t>
      </w:r>
      <w:r w:rsidRPr="00D62A12">
        <w:rPr>
          <w:rFonts w:ascii="Times New Roman" w:hAnsi="Times New Roman" w:cs="Times New Roman"/>
          <w:sz w:val="24"/>
          <w:szCs w:val="24"/>
          <w:lang w:val="en"/>
        </w:rPr>
        <w:t xml:space="preserve">, </w:t>
      </w:r>
      <w:r>
        <w:rPr>
          <w:rFonts w:ascii="Times New Roman" w:hAnsi="Times New Roman" w:cs="Times New Roman"/>
          <w:sz w:val="24"/>
          <w:szCs w:val="24"/>
          <w:lang w:val="en"/>
        </w:rPr>
        <w:t>capital a</w:t>
      </w:r>
      <w:r w:rsidRPr="00D62A12">
        <w:rPr>
          <w:rFonts w:ascii="Times New Roman" w:hAnsi="Times New Roman" w:cs="Times New Roman"/>
          <w:sz w:val="24"/>
          <w:szCs w:val="24"/>
          <w:lang w:val="en"/>
        </w:rPr>
        <w:t>dequacy</w:t>
      </w:r>
      <w:r>
        <w:rPr>
          <w:rFonts w:ascii="Times New Roman" w:hAnsi="Times New Roman" w:cs="Times New Roman"/>
          <w:sz w:val="24"/>
          <w:szCs w:val="24"/>
        </w:rPr>
        <w:t xml:space="preserve"> ratio</w:t>
      </w:r>
      <w:r w:rsidRPr="00D62A12">
        <w:rPr>
          <w:rFonts w:ascii="Times New Roman" w:hAnsi="Times New Roman" w:cs="Times New Roman"/>
          <w:sz w:val="24"/>
          <w:szCs w:val="24"/>
          <w:lang w:val="en"/>
        </w:rPr>
        <w:t xml:space="preserve"> has positive significant result to liquidity risk, </w:t>
      </w:r>
      <w:r>
        <w:rPr>
          <w:rFonts w:ascii="Times New Roman" w:hAnsi="Times New Roman" w:cs="Times New Roman"/>
          <w:sz w:val="24"/>
          <w:szCs w:val="24"/>
          <w:lang w:val="en"/>
        </w:rPr>
        <w:t>bank capitalization</w:t>
      </w:r>
      <w:r w:rsidRPr="00D62A12">
        <w:rPr>
          <w:rFonts w:ascii="Times New Roman" w:hAnsi="Times New Roman" w:cs="Times New Roman"/>
          <w:sz w:val="24"/>
          <w:szCs w:val="24"/>
          <w:lang w:val="en"/>
        </w:rPr>
        <w:t xml:space="preserve"> or Size has </w:t>
      </w:r>
      <w:r w:rsidRPr="00FA5F73">
        <w:rPr>
          <w:rFonts w:ascii="Times New Roman" w:eastAsia="Calibri" w:hAnsi="Times New Roman" w:cs="Times New Roman"/>
          <w:color w:val="000000" w:themeColor="text1"/>
          <w:sz w:val="24"/>
          <w:szCs w:val="24"/>
        </w:rPr>
        <w:t>non performing financing</w:t>
      </w:r>
      <w:r>
        <w:rPr>
          <w:rFonts w:ascii="Times New Roman" w:hAnsi="Times New Roman" w:cs="Times New Roman"/>
          <w:sz w:val="24"/>
          <w:szCs w:val="24"/>
          <w:lang w:val="en"/>
        </w:rPr>
        <w:t>, bank c</w:t>
      </w:r>
      <w:r w:rsidRPr="00D62A12">
        <w:rPr>
          <w:rFonts w:ascii="Times New Roman" w:hAnsi="Times New Roman" w:cs="Times New Roman"/>
          <w:sz w:val="24"/>
          <w:szCs w:val="24"/>
          <w:lang w:val="en"/>
        </w:rPr>
        <w:t xml:space="preserve">apitalization or Size has a significant negative effect on liquidity risk, Inflation has negative </w:t>
      </w:r>
      <w:proofErr w:type="spellStart"/>
      <w:r w:rsidRPr="00D62A12">
        <w:rPr>
          <w:rFonts w:ascii="Times New Roman" w:hAnsi="Times New Roman" w:cs="Times New Roman"/>
          <w:sz w:val="24"/>
          <w:szCs w:val="24"/>
          <w:lang w:val="en"/>
        </w:rPr>
        <w:t>negative</w:t>
      </w:r>
      <w:proofErr w:type="spellEnd"/>
      <w:r w:rsidRPr="00D62A12">
        <w:rPr>
          <w:rFonts w:ascii="Times New Roman" w:hAnsi="Times New Roman" w:cs="Times New Roman"/>
          <w:sz w:val="24"/>
          <w:szCs w:val="24"/>
          <w:lang w:val="en"/>
        </w:rPr>
        <w:t xml:space="preserve"> results not significant to </w:t>
      </w:r>
      <w:r w:rsidRPr="00FA5F73">
        <w:rPr>
          <w:rFonts w:ascii="Times New Roman" w:eastAsia="Calibri" w:hAnsi="Times New Roman" w:cs="Times New Roman"/>
          <w:color w:val="000000" w:themeColor="text1"/>
          <w:sz w:val="24"/>
          <w:szCs w:val="24"/>
        </w:rPr>
        <w:t>non performing financing</w:t>
      </w:r>
      <w:r>
        <w:rPr>
          <w:rFonts w:ascii="Times New Roman" w:hAnsi="Times New Roman" w:cs="Times New Roman"/>
          <w:sz w:val="24"/>
          <w:szCs w:val="24"/>
          <w:lang w:val="en"/>
        </w:rPr>
        <w:t>, i</w:t>
      </w:r>
      <w:r w:rsidRPr="00D62A12">
        <w:rPr>
          <w:rFonts w:ascii="Times New Roman" w:hAnsi="Times New Roman" w:cs="Times New Roman"/>
          <w:sz w:val="24"/>
          <w:szCs w:val="24"/>
          <w:lang w:val="en"/>
        </w:rPr>
        <w:t xml:space="preserve">nflation has positive </w:t>
      </w:r>
      <w:proofErr w:type="spellStart"/>
      <w:r w:rsidRPr="00D62A12">
        <w:rPr>
          <w:rFonts w:ascii="Times New Roman" w:hAnsi="Times New Roman" w:cs="Times New Roman"/>
          <w:sz w:val="24"/>
          <w:szCs w:val="24"/>
          <w:lang w:val="en"/>
        </w:rPr>
        <w:t>non significant</w:t>
      </w:r>
      <w:proofErr w:type="spellEnd"/>
      <w:r w:rsidRPr="00D62A12">
        <w:rPr>
          <w:rFonts w:ascii="Times New Roman" w:hAnsi="Times New Roman" w:cs="Times New Roman"/>
          <w:sz w:val="24"/>
          <w:szCs w:val="24"/>
          <w:lang w:val="en"/>
        </w:rPr>
        <w:t xml:space="preserve"> result to liquidity risk, and </w:t>
      </w:r>
      <w:r w:rsidRPr="00FA5F73">
        <w:rPr>
          <w:rFonts w:ascii="Times New Roman" w:eastAsia="Calibri" w:hAnsi="Times New Roman" w:cs="Times New Roman"/>
          <w:color w:val="000000" w:themeColor="text1"/>
          <w:sz w:val="24"/>
          <w:szCs w:val="24"/>
        </w:rPr>
        <w:t>non performing financing</w:t>
      </w:r>
      <w:r w:rsidRPr="00D62A12">
        <w:rPr>
          <w:rFonts w:ascii="Times New Roman" w:hAnsi="Times New Roman" w:cs="Times New Roman"/>
          <w:sz w:val="24"/>
          <w:szCs w:val="24"/>
          <w:lang w:val="en"/>
        </w:rPr>
        <w:t xml:space="preserve"> variable </w:t>
      </w:r>
      <w:proofErr w:type="spellStart"/>
      <w:r w:rsidRPr="00D62A12">
        <w:rPr>
          <w:rFonts w:ascii="Times New Roman" w:hAnsi="Times New Roman" w:cs="Times New Roman"/>
          <w:sz w:val="24"/>
          <w:szCs w:val="24"/>
          <w:lang w:val="en"/>
        </w:rPr>
        <w:t>can not</w:t>
      </w:r>
      <w:proofErr w:type="spellEnd"/>
      <w:r w:rsidRPr="00D62A12">
        <w:rPr>
          <w:rFonts w:ascii="Times New Roman" w:hAnsi="Times New Roman" w:cs="Times New Roman"/>
          <w:sz w:val="24"/>
          <w:szCs w:val="24"/>
          <w:lang w:val="en"/>
        </w:rPr>
        <w:t xml:space="preserve"> be intervening variables for </w:t>
      </w:r>
      <w:r>
        <w:rPr>
          <w:rFonts w:ascii="Times New Roman" w:hAnsi="Times New Roman" w:cs="Times New Roman"/>
          <w:sz w:val="24"/>
          <w:szCs w:val="24"/>
          <w:lang w:val="en"/>
        </w:rPr>
        <w:t>capital a</w:t>
      </w:r>
      <w:r w:rsidRPr="00D62A12">
        <w:rPr>
          <w:rFonts w:ascii="Times New Roman" w:hAnsi="Times New Roman" w:cs="Times New Roman"/>
          <w:sz w:val="24"/>
          <w:szCs w:val="24"/>
          <w:lang w:val="en"/>
        </w:rPr>
        <w:t>dequacy</w:t>
      </w:r>
      <w:r>
        <w:rPr>
          <w:rFonts w:ascii="Times New Roman" w:hAnsi="Times New Roman" w:cs="Times New Roman"/>
          <w:sz w:val="24"/>
          <w:szCs w:val="24"/>
        </w:rPr>
        <w:t xml:space="preserve"> ratio</w:t>
      </w:r>
      <w:r>
        <w:rPr>
          <w:rFonts w:ascii="Times New Roman" w:hAnsi="Times New Roman" w:cs="Times New Roman"/>
          <w:sz w:val="24"/>
          <w:szCs w:val="24"/>
          <w:lang w:val="en"/>
        </w:rPr>
        <w:t xml:space="preserve"> and i</w:t>
      </w:r>
      <w:r w:rsidRPr="00D62A12">
        <w:rPr>
          <w:rFonts w:ascii="Times New Roman" w:hAnsi="Times New Roman" w:cs="Times New Roman"/>
          <w:sz w:val="24"/>
          <w:szCs w:val="24"/>
          <w:lang w:val="en"/>
        </w:rPr>
        <w:t xml:space="preserve">nflation </w:t>
      </w:r>
      <w:r>
        <w:rPr>
          <w:rFonts w:ascii="Times New Roman" w:hAnsi="Times New Roman" w:cs="Times New Roman"/>
          <w:sz w:val="24"/>
          <w:szCs w:val="24"/>
        </w:rPr>
        <w:t xml:space="preserve">and </w:t>
      </w:r>
      <w:r>
        <w:rPr>
          <w:rFonts w:ascii="Times New Roman" w:eastAsia="Calibri" w:hAnsi="Times New Roman" w:cs="Times New Roman"/>
          <w:i/>
          <w:color w:val="000000" w:themeColor="text1"/>
          <w:sz w:val="24"/>
          <w:szCs w:val="24"/>
        </w:rPr>
        <w:t>bank c</w:t>
      </w:r>
      <w:r w:rsidRPr="00D62A12">
        <w:rPr>
          <w:rFonts w:ascii="Times New Roman" w:eastAsia="Calibri" w:hAnsi="Times New Roman" w:cs="Times New Roman"/>
          <w:i/>
          <w:color w:val="000000" w:themeColor="text1"/>
          <w:sz w:val="24"/>
          <w:szCs w:val="24"/>
        </w:rPr>
        <w:t xml:space="preserve">apitalization </w:t>
      </w:r>
      <w:r w:rsidRPr="00D62A12">
        <w:rPr>
          <w:rFonts w:ascii="Times New Roman" w:hAnsi="Times New Roman" w:cs="Times New Roman"/>
          <w:sz w:val="24"/>
          <w:szCs w:val="24"/>
          <w:lang w:val="en"/>
        </w:rPr>
        <w:t>against liquidity risk</w:t>
      </w:r>
      <w:r>
        <w:rPr>
          <w:rFonts w:ascii="Times New Roman" w:hAnsi="Times New Roman" w:cs="Times New Roman"/>
          <w:sz w:val="24"/>
          <w:szCs w:val="24"/>
        </w:rPr>
        <w:t>.</w:t>
      </w:r>
    </w:p>
    <w:p w:rsidR="00C00583" w:rsidRPr="00D62A12" w:rsidRDefault="00C00583" w:rsidP="00C00583">
      <w:pPr>
        <w:tabs>
          <w:tab w:val="left" w:pos="1139"/>
        </w:tabs>
        <w:spacing w:after="0" w:line="240" w:lineRule="auto"/>
        <w:jc w:val="both"/>
        <w:rPr>
          <w:rFonts w:ascii="Times New Roman" w:eastAsia="Calibri" w:hAnsi="Times New Roman" w:cs="Times New Roman"/>
          <w:color w:val="000000" w:themeColor="text1"/>
          <w:sz w:val="24"/>
          <w:szCs w:val="24"/>
        </w:rPr>
      </w:pPr>
      <w:r w:rsidRPr="00D62A12">
        <w:rPr>
          <w:rFonts w:ascii="Times New Roman" w:eastAsia="Calibri" w:hAnsi="Times New Roman" w:cs="Times New Roman"/>
          <w:color w:val="000000" w:themeColor="text1"/>
          <w:sz w:val="24"/>
          <w:szCs w:val="24"/>
        </w:rPr>
        <w:tab/>
      </w:r>
    </w:p>
    <w:p w:rsidR="00C00583" w:rsidRPr="00D62A12" w:rsidRDefault="00C00583" w:rsidP="00C00583">
      <w:pPr>
        <w:spacing w:after="0" w:line="240" w:lineRule="auto"/>
        <w:ind w:left="1276" w:hanging="1276"/>
        <w:jc w:val="both"/>
        <w:rPr>
          <w:rFonts w:ascii="Times New Roman" w:eastAsia="Times New Roman" w:hAnsi="Times New Roman" w:cs="Times New Roman"/>
          <w:iCs/>
          <w:sz w:val="24"/>
          <w:szCs w:val="24"/>
        </w:rPr>
      </w:pPr>
      <w:r w:rsidRPr="00D62A12">
        <w:rPr>
          <w:rFonts w:ascii="Times New Roman" w:eastAsia="Calibri" w:hAnsi="Times New Roman" w:cs="Times New Roman"/>
          <w:color w:val="000000" w:themeColor="text1"/>
          <w:sz w:val="24"/>
          <w:szCs w:val="24"/>
        </w:rPr>
        <w:t xml:space="preserve">Keyword: </w:t>
      </w:r>
      <w:r w:rsidRPr="00D62A12">
        <w:rPr>
          <w:rFonts w:ascii="Times New Roman" w:eastAsia="Times New Roman" w:hAnsi="Times New Roman" w:cs="Times New Roman"/>
          <w:i/>
          <w:iCs/>
          <w:sz w:val="24"/>
          <w:szCs w:val="24"/>
        </w:rPr>
        <w:t>Non Performing Financing, Liquidity Risk</w:t>
      </w:r>
      <w:r w:rsidRPr="00D62A12">
        <w:rPr>
          <w:rFonts w:ascii="Times New Roman" w:eastAsia="Times New Roman" w:hAnsi="Times New Roman" w:cs="Times New Roman"/>
          <w:iCs/>
          <w:sz w:val="24"/>
          <w:szCs w:val="24"/>
        </w:rPr>
        <w:t xml:space="preserve">, </w:t>
      </w:r>
      <w:r w:rsidRPr="00D62A12">
        <w:rPr>
          <w:rFonts w:ascii="Times New Roman" w:eastAsia="Times New Roman" w:hAnsi="Times New Roman" w:cs="Times New Roman"/>
          <w:i/>
          <w:iCs/>
          <w:sz w:val="24"/>
          <w:szCs w:val="24"/>
        </w:rPr>
        <w:t xml:space="preserve">Bank Capitalization, </w:t>
      </w:r>
      <w:r w:rsidRPr="00D62A12">
        <w:rPr>
          <w:rFonts w:ascii="Times New Roman" w:eastAsia="Calibri" w:hAnsi="Times New Roman" w:cs="Times New Roman"/>
          <w:i/>
          <w:color w:val="000000" w:themeColor="text1"/>
          <w:sz w:val="24"/>
          <w:szCs w:val="24"/>
        </w:rPr>
        <w:t>Capital Adequacy</w:t>
      </w:r>
      <w:r>
        <w:rPr>
          <w:rFonts w:ascii="Times New Roman" w:eastAsia="Calibri" w:hAnsi="Times New Roman" w:cs="Times New Roman"/>
          <w:i/>
          <w:color w:val="000000" w:themeColor="text1"/>
          <w:sz w:val="24"/>
          <w:szCs w:val="24"/>
        </w:rPr>
        <w:t xml:space="preserve"> Ratio</w:t>
      </w:r>
      <w:r w:rsidRPr="00D62A12">
        <w:rPr>
          <w:rFonts w:ascii="Times New Roman" w:eastAsia="Calibri" w:hAnsi="Times New Roman" w:cs="Times New Roman"/>
          <w:i/>
          <w:color w:val="000000" w:themeColor="text1"/>
          <w:sz w:val="24"/>
          <w:szCs w:val="24"/>
        </w:rPr>
        <w:t>, Inflation</w:t>
      </w:r>
      <w:r w:rsidRPr="00D62A12">
        <w:rPr>
          <w:rFonts w:ascii="Times New Roman" w:eastAsia="Calibri" w:hAnsi="Times New Roman" w:cs="Times New Roman"/>
          <w:color w:val="000000" w:themeColor="text1"/>
          <w:sz w:val="24"/>
          <w:szCs w:val="24"/>
        </w:rPr>
        <w:t>.</w:t>
      </w:r>
    </w:p>
    <w:p w:rsidR="00C00583" w:rsidRPr="00D62A12" w:rsidRDefault="00C00583" w:rsidP="00C00583">
      <w:pPr>
        <w:spacing w:after="0"/>
        <w:jc w:val="both"/>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Default="00C00583" w:rsidP="00C00583">
      <w:pPr>
        <w:spacing w:after="0" w:line="480" w:lineRule="auto"/>
        <w:jc w:val="center"/>
        <w:rPr>
          <w:rFonts w:ascii="Times New Roman" w:eastAsia="Calibri" w:hAnsi="Times New Roman" w:cs="Times New Roman"/>
          <w:b/>
          <w:color w:val="000000" w:themeColor="text1"/>
          <w:sz w:val="24"/>
          <w:szCs w:val="24"/>
        </w:rPr>
      </w:pPr>
    </w:p>
    <w:p w:rsidR="00C00583" w:rsidRPr="00D62A12" w:rsidRDefault="00C00583" w:rsidP="00C00583">
      <w:pPr>
        <w:spacing w:after="0" w:line="480" w:lineRule="auto"/>
        <w:jc w:val="center"/>
        <w:rPr>
          <w:rFonts w:ascii="Times New Roman" w:eastAsia="Calibri" w:hAnsi="Times New Roman" w:cs="Times New Roman"/>
          <w:b/>
          <w:color w:val="000000" w:themeColor="text1"/>
          <w:sz w:val="24"/>
          <w:szCs w:val="24"/>
        </w:rPr>
      </w:pPr>
      <w:bookmarkStart w:id="1" w:name="_GoBack"/>
      <w:bookmarkEnd w:id="1"/>
    </w:p>
    <w:p w:rsidR="00C00583" w:rsidRPr="00D62A12" w:rsidRDefault="00C00583" w:rsidP="00C00583">
      <w:pPr>
        <w:spacing w:after="0" w:line="480" w:lineRule="auto"/>
        <w:rPr>
          <w:rFonts w:ascii="Times New Roman" w:eastAsia="Calibri" w:hAnsi="Times New Roman" w:cs="Times New Roman"/>
          <w:b/>
          <w:color w:val="000000" w:themeColor="text1"/>
          <w:sz w:val="24"/>
          <w:szCs w:val="24"/>
        </w:rPr>
      </w:pPr>
    </w:p>
    <w:p w:rsidR="00C00583" w:rsidRPr="00D62A12" w:rsidRDefault="00C00583" w:rsidP="00C00583">
      <w:pPr>
        <w:pStyle w:val="Heading1"/>
      </w:pPr>
      <w:bookmarkStart w:id="2" w:name="_Toc507648442"/>
      <w:r w:rsidRPr="00D62A12">
        <w:lastRenderedPageBreak/>
        <w:t>ABSTRAK</w:t>
      </w:r>
      <w:bookmarkEnd w:id="2"/>
    </w:p>
    <w:p w:rsidR="00C00583" w:rsidRPr="00D62A12" w:rsidRDefault="00C00583" w:rsidP="00C00583">
      <w:pPr>
        <w:spacing w:after="0" w:line="240" w:lineRule="auto"/>
        <w:jc w:val="both"/>
        <w:rPr>
          <w:rFonts w:ascii="Times New Roman" w:eastAsia="Calibri" w:hAnsi="Times New Roman" w:cs="Times New Roman"/>
          <w:b/>
          <w:color w:val="000000" w:themeColor="text1"/>
          <w:sz w:val="24"/>
          <w:szCs w:val="24"/>
        </w:rPr>
      </w:pPr>
      <w:r w:rsidRPr="00D62A12">
        <w:rPr>
          <w:rFonts w:ascii="Times New Roman" w:eastAsia="Calibri" w:hAnsi="Times New Roman" w:cs="Times New Roman"/>
          <w:color w:val="000000" w:themeColor="text1"/>
          <w:sz w:val="24"/>
          <w:szCs w:val="24"/>
        </w:rPr>
        <w:t xml:space="preserve">Penelitian ini bertujuan untuk menganalisis risiko likuiditas bank umum syariah di Indonesia periode 2014-2016. likuid merupakan yang akan dicapai oleh suatu perbankan oleh karenanya perbankan berusaha meningkatkan dana cair untuk meminimalkan risiko likuiditas, dengan mengetahui faktor apa saja yang dapat mempengaruhi risiko likuiditas maka perbankan akan semakin mudah menyiapkan dana cair tersebut, banyak faktor yang dapat mempengaruhi risiko likuiditas akan tetapi penelitian ini hanya membahas beberapa faktor yang dapat mempengaruhi risiko likuiditas antara lain </w:t>
      </w:r>
      <w:r>
        <w:rPr>
          <w:rFonts w:ascii="Times New Roman" w:eastAsia="Calibri" w:hAnsi="Times New Roman" w:cs="Times New Roman"/>
          <w:i/>
          <w:color w:val="000000" w:themeColor="text1"/>
          <w:sz w:val="24"/>
          <w:szCs w:val="24"/>
        </w:rPr>
        <w:t>bank capitalization, capital a</w:t>
      </w:r>
      <w:r w:rsidRPr="00D62A12">
        <w:rPr>
          <w:rFonts w:ascii="Times New Roman" w:eastAsia="Calibri" w:hAnsi="Times New Roman" w:cs="Times New Roman"/>
          <w:i/>
          <w:color w:val="000000" w:themeColor="text1"/>
          <w:sz w:val="24"/>
          <w:szCs w:val="24"/>
        </w:rPr>
        <w:t>dequacy</w:t>
      </w:r>
      <w:r>
        <w:rPr>
          <w:rFonts w:ascii="Times New Roman" w:eastAsia="Calibri" w:hAnsi="Times New Roman" w:cs="Times New Roman"/>
          <w:i/>
          <w:color w:val="000000" w:themeColor="text1"/>
          <w:sz w:val="24"/>
          <w:szCs w:val="24"/>
        </w:rPr>
        <w:t xml:space="preserve"> ratio</w:t>
      </w:r>
      <w:r w:rsidRPr="00D62A12">
        <w:rPr>
          <w:rFonts w:ascii="Times New Roman" w:eastAsia="Calibri" w:hAnsi="Times New Roman" w:cs="Times New Roman"/>
          <w:color w:val="000000" w:themeColor="text1"/>
          <w:sz w:val="24"/>
          <w:szCs w:val="24"/>
        </w:rPr>
        <w:t xml:space="preserve">, Inflasi dan </w:t>
      </w:r>
      <w:r>
        <w:rPr>
          <w:rFonts w:ascii="Times New Roman" w:eastAsia="Calibri" w:hAnsi="Times New Roman" w:cs="Times New Roman"/>
          <w:i/>
          <w:color w:val="000000" w:themeColor="text1"/>
          <w:sz w:val="24"/>
          <w:szCs w:val="24"/>
        </w:rPr>
        <w:t>non performing f</w:t>
      </w:r>
      <w:r w:rsidRPr="00D62A12">
        <w:rPr>
          <w:rFonts w:ascii="Times New Roman" w:eastAsia="Calibri" w:hAnsi="Times New Roman" w:cs="Times New Roman"/>
          <w:i/>
          <w:color w:val="000000" w:themeColor="text1"/>
          <w:sz w:val="24"/>
          <w:szCs w:val="24"/>
        </w:rPr>
        <w:t>inancing</w:t>
      </w:r>
      <w:r w:rsidRPr="00D62A12">
        <w:rPr>
          <w:rFonts w:ascii="Times New Roman" w:eastAsia="Calibri" w:hAnsi="Times New Roman" w:cs="Times New Roman"/>
          <w:color w:val="000000" w:themeColor="text1"/>
          <w:sz w:val="24"/>
          <w:szCs w:val="24"/>
        </w:rPr>
        <w:t xml:space="preserve">.  Tujuan penelitian ini adalah untuk mengetahui faktor risiko likuiditas perbankan syariah di indonesia. Data yang diperoleh dari annual report masing-masing bank umum syariah yang berjumlah 13 bank. Analisis data dalam penelitian ini menggunakan EVIEWS 9 menghasilkan bahwa </w:t>
      </w:r>
      <w:r>
        <w:rPr>
          <w:rFonts w:ascii="Times New Roman" w:eastAsia="Calibri" w:hAnsi="Times New Roman" w:cs="Times New Roman"/>
          <w:i/>
          <w:color w:val="000000" w:themeColor="text1"/>
          <w:sz w:val="24"/>
          <w:szCs w:val="24"/>
        </w:rPr>
        <w:t>non performing f</w:t>
      </w:r>
      <w:r w:rsidRPr="00D62A12">
        <w:rPr>
          <w:rFonts w:ascii="Times New Roman" w:eastAsia="Calibri" w:hAnsi="Times New Roman" w:cs="Times New Roman"/>
          <w:i/>
          <w:color w:val="000000" w:themeColor="text1"/>
          <w:sz w:val="24"/>
          <w:szCs w:val="24"/>
        </w:rPr>
        <w:t>inancing</w:t>
      </w:r>
      <w:r w:rsidRPr="00D62A12">
        <w:rPr>
          <w:rFonts w:ascii="Times New Roman" w:eastAsia="Times New Roman" w:hAnsi="Times New Roman" w:cs="Times New Roman"/>
          <w:i/>
          <w:iCs/>
          <w:sz w:val="24"/>
          <w:szCs w:val="24"/>
        </w:rPr>
        <w:t xml:space="preserve"> </w:t>
      </w:r>
      <w:r w:rsidRPr="00D62A12">
        <w:rPr>
          <w:rFonts w:ascii="Times New Roman" w:eastAsia="Times New Roman" w:hAnsi="Times New Roman" w:cs="Times New Roman"/>
          <w:iCs/>
          <w:sz w:val="24"/>
          <w:szCs w:val="24"/>
        </w:rPr>
        <w:t xml:space="preserve">mempunyai hasil positif signifikan terhadap risiko likuiditas, </w:t>
      </w:r>
      <w:r>
        <w:rPr>
          <w:rFonts w:ascii="Times New Roman" w:eastAsia="Calibri" w:hAnsi="Times New Roman" w:cs="Times New Roman"/>
          <w:i/>
          <w:color w:val="000000" w:themeColor="text1"/>
          <w:sz w:val="24"/>
          <w:szCs w:val="24"/>
        </w:rPr>
        <w:t>capital a</w:t>
      </w:r>
      <w:r w:rsidRPr="00D62A12">
        <w:rPr>
          <w:rFonts w:ascii="Times New Roman" w:eastAsia="Calibri" w:hAnsi="Times New Roman" w:cs="Times New Roman"/>
          <w:i/>
          <w:color w:val="000000" w:themeColor="text1"/>
          <w:sz w:val="24"/>
          <w:szCs w:val="24"/>
        </w:rPr>
        <w:t>dequacy</w:t>
      </w:r>
      <w:r>
        <w:rPr>
          <w:rFonts w:ascii="Times New Roman" w:eastAsia="Calibri" w:hAnsi="Times New Roman" w:cs="Times New Roman"/>
          <w:i/>
          <w:color w:val="000000" w:themeColor="text1"/>
          <w:sz w:val="24"/>
          <w:szCs w:val="24"/>
        </w:rPr>
        <w:t xml:space="preserve"> ratio</w:t>
      </w:r>
      <w:r w:rsidRPr="00D62A12">
        <w:rPr>
          <w:rFonts w:ascii="Times New Roman" w:eastAsia="Times New Roman" w:hAnsi="Times New Roman" w:cs="Times New Roman"/>
          <w:iCs/>
          <w:sz w:val="24"/>
          <w:szCs w:val="24"/>
        </w:rPr>
        <w:t xml:space="preserve"> mempunyai hasil negatif tidak signifikan terhadap </w:t>
      </w:r>
      <w:r>
        <w:rPr>
          <w:rFonts w:ascii="Times New Roman" w:eastAsia="Calibri" w:hAnsi="Times New Roman" w:cs="Times New Roman"/>
          <w:i/>
          <w:color w:val="000000" w:themeColor="text1"/>
          <w:sz w:val="24"/>
          <w:szCs w:val="24"/>
        </w:rPr>
        <w:t>non performing f</w:t>
      </w:r>
      <w:r w:rsidRPr="00D62A12">
        <w:rPr>
          <w:rFonts w:ascii="Times New Roman" w:eastAsia="Calibri" w:hAnsi="Times New Roman" w:cs="Times New Roman"/>
          <w:i/>
          <w:color w:val="000000" w:themeColor="text1"/>
          <w:sz w:val="24"/>
          <w:szCs w:val="24"/>
        </w:rPr>
        <w:t>inancing</w:t>
      </w:r>
      <w:r w:rsidRPr="00D62A12">
        <w:rPr>
          <w:rFonts w:ascii="Times New Roman" w:eastAsia="Times New Roman" w:hAnsi="Times New Roman" w:cs="Times New Roman"/>
          <w:i/>
          <w:iCs/>
          <w:sz w:val="24"/>
          <w:szCs w:val="24"/>
        </w:rPr>
        <w:t xml:space="preserve">, </w:t>
      </w:r>
      <w:r>
        <w:rPr>
          <w:rFonts w:ascii="Times New Roman" w:eastAsia="Calibri" w:hAnsi="Times New Roman" w:cs="Times New Roman"/>
          <w:i/>
          <w:color w:val="000000" w:themeColor="text1"/>
          <w:sz w:val="24"/>
          <w:szCs w:val="24"/>
        </w:rPr>
        <w:t>capital a</w:t>
      </w:r>
      <w:r w:rsidRPr="00D62A12">
        <w:rPr>
          <w:rFonts w:ascii="Times New Roman" w:eastAsia="Calibri" w:hAnsi="Times New Roman" w:cs="Times New Roman"/>
          <w:i/>
          <w:color w:val="000000" w:themeColor="text1"/>
          <w:sz w:val="24"/>
          <w:szCs w:val="24"/>
        </w:rPr>
        <w:t>dequacy</w:t>
      </w:r>
      <w:r>
        <w:rPr>
          <w:rFonts w:ascii="Times New Roman" w:eastAsia="Calibri" w:hAnsi="Times New Roman" w:cs="Times New Roman"/>
          <w:i/>
          <w:color w:val="000000" w:themeColor="text1"/>
          <w:sz w:val="24"/>
          <w:szCs w:val="24"/>
        </w:rPr>
        <w:t xml:space="preserve"> ratio</w:t>
      </w:r>
      <w:r w:rsidRPr="00D62A12">
        <w:rPr>
          <w:rFonts w:ascii="Times New Roman" w:eastAsia="Times New Roman" w:hAnsi="Times New Roman" w:cs="Times New Roman"/>
          <w:iCs/>
          <w:sz w:val="24"/>
          <w:szCs w:val="24"/>
        </w:rPr>
        <w:t xml:space="preserve"> mempunyai hasil positif signifikan terhadap risiko likuiditas, </w:t>
      </w:r>
      <w:r>
        <w:rPr>
          <w:rFonts w:ascii="Times New Roman" w:eastAsia="Calibri" w:hAnsi="Times New Roman" w:cs="Times New Roman"/>
          <w:i/>
          <w:color w:val="000000" w:themeColor="text1"/>
          <w:sz w:val="24"/>
          <w:szCs w:val="24"/>
        </w:rPr>
        <w:t>bank capitalization</w:t>
      </w:r>
      <w:r w:rsidRPr="00D62A12">
        <w:rPr>
          <w:rFonts w:ascii="Times New Roman" w:eastAsia="Times New Roman" w:hAnsi="Times New Roman" w:cs="Times New Roman"/>
          <w:iCs/>
          <w:sz w:val="24"/>
          <w:szCs w:val="24"/>
        </w:rPr>
        <w:t xml:space="preserve"> atau </w:t>
      </w:r>
      <w:r>
        <w:rPr>
          <w:rFonts w:ascii="Times New Roman" w:eastAsia="Times New Roman" w:hAnsi="Times New Roman" w:cs="Times New Roman"/>
          <w:i/>
          <w:iCs/>
          <w:sz w:val="24"/>
          <w:szCs w:val="24"/>
        </w:rPr>
        <w:t>s</w:t>
      </w:r>
      <w:r w:rsidRPr="00D62A12">
        <w:rPr>
          <w:rFonts w:ascii="Times New Roman" w:eastAsia="Times New Roman" w:hAnsi="Times New Roman" w:cs="Times New Roman"/>
          <w:i/>
          <w:iCs/>
          <w:sz w:val="24"/>
          <w:szCs w:val="24"/>
        </w:rPr>
        <w:t xml:space="preserve">ize </w:t>
      </w:r>
      <w:r w:rsidRPr="00D62A12">
        <w:rPr>
          <w:rFonts w:ascii="Times New Roman" w:eastAsia="Times New Roman" w:hAnsi="Times New Roman" w:cs="Times New Roman"/>
          <w:iCs/>
          <w:sz w:val="24"/>
          <w:szCs w:val="24"/>
        </w:rPr>
        <w:t xml:space="preserve">mempunyai hasil positif tidak signifikan terhadap </w:t>
      </w:r>
      <w:r>
        <w:rPr>
          <w:rFonts w:ascii="Times New Roman" w:eastAsia="Calibri" w:hAnsi="Times New Roman" w:cs="Times New Roman"/>
          <w:i/>
          <w:color w:val="000000" w:themeColor="text1"/>
          <w:sz w:val="24"/>
          <w:szCs w:val="24"/>
        </w:rPr>
        <w:t>non performing f</w:t>
      </w:r>
      <w:r w:rsidRPr="00D62A12">
        <w:rPr>
          <w:rFonts w:ascii="Times New Roman" w:eastAsia="Calibri" w:hAnsi="Times New Roman" w:cs="Times New Roman"/>
          <w:i/>
          <w:color w:val="000000" w:themeColor="text1"/>
          <w:sz w:val="24"/>
          <w:szCs w:val="24"/>
        </w:rPr>
        <w:t>inancing</w:t>
      </w:r>
      <w:r w:rsidRPr="00D62A12">
        <w:rPr>
          <w:rFonts w:ascii="Times New Roman" w:eastAsia="Times New Roman" w:hAnsi="Times New Roman" w:cs="Times New Roman"/>
          <w:i/>
          <w:iCs/>
          <w:sz w:val="24"/>
          <w:szCs w:val="24"/>
        </w:rPr>
        <w:t xml:space="preserve">, </w:t>
      </w:r>
      <w:r>
        <w:rPr>
          <w:rFonts w:ascii="Times New Roman" w:eastAsia="Calibri" w:hAnsi="Times New Roman" w:cs="Times New Roman"/>
          <w:i/>
          <w:color w:val="000000" w:themeColor="text1"/>
          <w:sz w:val="24"/>
          <w:szCs w:val="24"/>
        </w:rPr>
        <w:t>bank capitalization</w:t>
      </w:r>
      <w:r w:rsidRPr="00D62A12">
        <w:rPr>
          <w:rFonts w:ascii="Times New Roman" w:eastAsia="Times New Roman" w:hAnsi="Times New Roman" w:cs="Times New Roman"/>
          <w:iCs/>
          <w:sz w:val="24"/>
          <w:szCs w:val="24"/>
        </w:rPr>
        <w:t xml:space="preserve"> atau </w:t>
      </w:r>
      <w:r>
        <w:rPr>
          <w:rFonts w:ascii="Times New Roman" w:eastAsia="Times New Roman" w:hAnsi="Times New Roman" w:cs="Times New Roman"/>
          <w:i/>
          <w:iCs/>
          <w:sz w:val="24"/>
          <w:szCs w:val="24"/>
        </w:rPr>
        <w:t>s</w:t>
      </w:r>
      <w:r w:rsidRPr="00D62A12">
        <w:rPr>
          <w:rFonts w:ascii="Times New Roman" w:eastAsia="Times New Roman" w:hAnsi="Times New Roman" w:cs="Times New Roman"/>
          <w:i/>
          <w:iCs/>
          <w:sz w:val="24"/>
          <w:szCs w:val="24"/>
        </w:rPr>
        <w:t xml:space="preserve">ize </w:t>
      </w:r>
      <w:r w:rsidRPr="00D62A12">
        <w:rPr>
          <w:rFonts w:ascii="Times New Roman" w:eastAsia="Times New Roman" w:hAnsi="Times New Roman" w:cs="Times New Roman"/>
          <w:iCs/>
          <w:sz w:val="24"/>
          <w:szCs w:val="24"/>
        </w:rPr>
        <w:t xml:space="preserve">mempunyai hasil negatif signifikan terhadap risiko likuiditas, Inflasi mempunyai hasil negatif tidak signifikan terhadap </w:t>
      </w:r>
      <w:r>
        <w:rPr>
          <w:rFonts w:ascii="Times New Roman" w:eastAsia="Calibri" w:hAnsi="Times New Roman" w:cs="Times New Roman"/>
          <w:i/>
          <w:color w:val="000000" w:themeColor="text1"/>
          <w:sz w:val="24"/>
          <w:szCs w:val="24"/>
        </w:rPr>
        <w:t>non performing f</w:t>
      </w:r>
      <w:r w:rsidRPr="00D62A12">
        <w:rPr>
          <w:rFonts w:ascii="Times New Roman" w:eastAsia="Calibri" w:hAnsi="Times New Roman" w:cs="Times New Roman"/>
          <w:i/>
          <w:color w:val="000000" w:themeColor="text1"/>
          <w:sz w:val="24"/>
          <w:szCs w:val="24"/>
        </w:rPr>
        <w:t>inancing</w:t>
      </w:r>
      <w:r w:rsidRPr="00D62A12">
        <w:rPr>
          <w:rFonts w:ascii="Times New Roman" w:eastAsia="Calibri" w:hAnsi="Times New Roman" w:cs="Times New Roman"/>
          <w:color w:val="000000" w:themeColor="text1"/>
          <w:sz w:val="24"/>
          <w:szCs w:val="24"/>
        </w:rPr>
        <w:t xml:space="preserve">.  </w:t>
      </w:r>
      <w:r w:rsidRPr="00D62A12">
        <w:rPr>
          <w:rFonts w:ascii="Times New Roman" w:eastAsia="Times New Roman" w:hAnsi="Times New Roman" w:cs="Times New Roman"/>
          <w:i/>
          <w:iCs/>
          <w:sz w:val="24"/>
          <w:szCs w:val="24"/>
        </w:rPr>
        <w:t xml:space="preserve">, </w:t>
      </w:r>
      <w:r w:rsidRPr="00D62A12">
        <w:rPr>
          <w:rFonts w:ascii="Times New Roman" w:eastAsia="Times New Roman" w:hAnsi="Times New Roman" w:cs="Times New Roman"/>
          <w:iCs/>
          <w:sz w:val="24"/>
          <w:szCs w:val="24"/>
        </w:rPr>
        <w:t>Inflasi mempunyai hasil positif tidak signifikan terhadap risiko likuiditas, serta variabel</w:t>
      </w:r>
      <w:r w:rsidRPr="00D62A12">
        <w:rPr>
          <w:rFonts w:ascii="Times New Roman" w:eastAsia="Times New Roman" w:hAnsi="Times New Roman" w:cs="Times New Roman"/>
          <w:i/>
          <w:iCs/>
          <w:sz w:val="24"/>
          <w:szCs w:val="24"/>
        </w:rPr>
        <w:t xml:space="preserve"> </w:t>
      </w:r>
      <w:r>
        <w:rPr>
          <w:rFonts w:ascii="Times New Roman" w:eastAsia="Calibri" w:hAnsi="Times New Roman" w:cs="Times New Roman"/>
          <w:i/>
          <w:color w:val="000000" w:themeColor="text1"/>
          <w:sz w:val="24"/>
          <w:szCs w:val="24"/>
        </w:rPr>
        <w:t>non performing f</w:t>
      </w:r>
      <w:r w:rsidRPr="00D62A12">
        <w:rPr>
          <w:rFonts w:ascii="Times New Roman" w:eastAsia="Calibri" w:hAnsi="Times New Roman" w:cs="Times New Roman"/>
          <w:i/>
          <w:color w:val="000000" w:themeColor="text1"/>
          <w:sz w:val="24"/>
          <w:szCs w:val="24"/>
        </w:rPr>
        <w:t>inancing</w:t>
      </w:r>
      <w:r w:rsidRPr="00D62A12">
        <w:rPr>
          <w:rFonts w:ascii="Times New Roman" w:eastAsia="Calibri" w:hAnsi="Times New Roman" w:cs="Times New Roman"/>
          <w:color w:val="000000" w:themeColor="text1"/>
          <w:sz w:val="24"/>
          <w:szCs w:val="24"/>
        </w:rPr>
        <w:t xml:space="preserve">.  </w:t>
      </w:r>
      <w:r w:rsidRPr="00D62A12">
        <w:rPr>
          <w:rFonts w:ascii="Times New Roman" w:eastAsia="Times New Roman" w:hAnsi="Times New Roman" w:cs="Times New Roman"/>
          <w:iCs/>
          <w:sz w:val="24"/>
          <w:szCs w:val="24"/>
        </w:rPr>
        <w:t xml:space="preserve">tidak dapat menjadi variabel intervening bagi  </w:t>
      </w:r>
      <w:r>
        <w:rPr>
          <w:rFonts w:ascii="Times New Roman" w:eastAsia="Calibri" w:hAnsi="Times New Roman" w:cs="Times New Roman"/>
          <w:i/>
          <w:color w:val="000000" w:themeColor="text1"/>
          <w:sz w:val="24"/>
          <w:szCs w:val="24"/>
        </w:rPr>
        <w:t>capital a</w:t>
      </w:r>
      <w:r w:rsidRPr="00D62A12">
        <w:rPr>
          <w:rFonts w:ascii="Times New Roman" w:eastAsia="Calibri" w:hAnsi="Times New Roman" w:cs="Times New Roman"/>
          <w:i/>
          <w:color w:val="000000" w:themeColor="text1"/>
          <w:sz w:val="24"/>
          <w:szCs w:val="24"/>
        </w:rPr>
        <w:t>dequacy</w:t>
      </w:r>
      <w:r>
        <w:rPr>
          <w:rFonts w:ascii="Times New Roman" w:eastAsia="Calibri" w:hAnsi="Times New Roman" w:cs="Times New Roman"/>
          <w:i/>
          <w:color w:val="000000" w:themeColor="text1"/>
          <w:sz w:val="24"/>
          <w:szCs w:val="24"/>
        </w:rPr>
        <w:t xml:space="preserve"> ratio</w:t>
      </w:r>
      <w:r w:rsidRPr="00D62A12">
        <w:rPr>
          <w:rFonts w:ascii="Times New Roman" w:eastAsia="Calibri" w:hAnsi="Times New Roman" w:cs="Times New Roman"/>
          <w:color w:val="000000" w:themeColor="text1"/>
          <w:sz w:val="24"/>
          <w:szCs w:val="24"/>
        </w:rPr>
        <w:t xml:space="preserve"> dan Inflasi</w:t>
      </w:r>
      <w:r>
        <w:rPr>
          <w:rFonts w:ascii="Times New Roman" w:eastAsia="Calibri" w:hAnsi="Times New Roman" w:cs="Times New Roman"/>
          <w:color w:val="000000" w:themeColor="text1"/>
          <w:sz w:val="24"/>
          <w:szCs w:val="24"/>
        </w:rPr>
        <w:t xml:space="preserve"> dan </w:t>
      </w:r>
      <w:r w:rsidRPr="00D62A12">
        <w:rPr>
          <w:rFonts w:ascii="Times New Roman" w:eastAsia="Calibri" w:hAnsi="Times New Roman" w:cs="Times New Roman"/>
          <w:color w:val="000000" w:themeColor="text1"/>
          <w:sz w:val="24"/>
          <w:szCs w:val="24"/>
        </w:rPr>
        <w:t xml:space="preserve"> </w:t>
      </w:r>
      <w:r w:rsidRPr="00D62A12">
        <w:rPr>
          <w:rFonts w:ascii="Times New Roman" w:eastAsia="Times New Roman" w:hAnsi="Times New Roman" w:cs="Times New Roman"/>
          <w:iCs/>
          <w:sz w:val="24"/>
          <w:szCs w:val="24"/>
        </w:rPr>
        <w:t xml:space="preserve">, </w:t>
      </w:r>
      <w:r>
        <w:rPr>
          <w:rFonts w:ascii="Times New Roman" w:eastAsia="Calibri" w:hAnsi="Times New Roman" w:cs="Times New Roman"/>
          <w:i/>
          <w:color w:val="000000" w:themeColor="text1"/>
          <w:sz w:val="24"/>
          <w:szCs w:val="24"/>
        </w:rPr>
        <w:t>bank capitalization</w:t>
      </w:r>
      <w:r w:rsidRPr="00D62A12">
        <w:rPr>
          <w:rFonts w:ascii="Times New Roman" w:eastAsia="Times New Roman" w:hAnsi="Times New Roman" w:cs="Times New Roman"/>
          <w:iCs/>
          <w:sz w:val="24"/>
          <w:szCs w:val="24"/>
        </w:rPr>
        <w:t xml:space="preserve"> </w:t>
      </w:r>
      <w:r>
        <w:rPr>
          <w:rFonts w:ascii="Times New Roman" w:eastAsia="Calibri" w:hAnsi="Times New Roman" w:cs="Times New Roman"/>
          <w:color w:val="000000" w:themeColor="text1"/>
          <w:sz w:val="24"/>
          <w:szCs w:val="24"/>
        </w:rPr>
        <w:t>terhadap risiko likuiditas</w:t>
      </w:r>
      <w:r w:rsidRPr="00D62A12">
        <w:rPr>
          <w:rFonts w:ascii="Times New Roman" w:eastAsia="Calibri" w:hAnsi="Times New Roman" w:cs="Times New Roman"/>
          <w:color w:val="000000" w:themeColor="text1"/>
          <w:sz w:val="24"/>
          <w:szCs w:val="24"/>
        </w:rPr>
        <w:t>.</w:t>
      </w:r>
    </w:p>
    <w:p w:rsidR="00C00583" w:rsidRPr="00D62A12" w:rsidRDefault="00C00583" w:rsidP="00C00583">
      <w:pPr>
        <w:tabs>
          <w:tab w:val="left" w:pos="1139"/>
        </w:tabs>
        <w:spacing w:after="0" w:line="240" w:lineRule="auto"/>
        <w:jc w:val="both"/>
        <w:rPr>
          <w:rFonts w:ascii="Times New Roman" w:eastAsia="Calibri" w:hAnsi="Times New Roman" w:cs="Times New Roman"/>
          <w:color w:val="000000" w:themeColor="text1"/>
          <w:sz w:val="24"/>
          <w:szCs w:val="24"/>
        </w:rPr>
      </w:pPr>
      <w:r w:rsidRPr="00D62A12">
        <w:rPr>
          <w:rFonts w:ascii="Times New Roman" w:eastAsia="Calibri" w:hAnsi="Times New Roman" w:cs="Times New Roman"/>
          <w:color w:val="000000" w:themeColor="text1"/>
          <w:sz w:val="24"/>
          <w:szCs w:val="24"/>
        </w:rPr>
        <w:tab/>
      </w:r>
    </w:p>
    <w:p w:rsidR="00C00583" w:rsidRPr="00D62A12" w:rsidRDefault="00C00583" w:rsidP="00C00583">
      <w:pPr>
        <w:spacing w:after="0" w:line="240" w:lineRule="auto"/>
        <w:ind w:left="1276" w:hanging="1276"/>
        <w:jc w:val="both"/>
        <w:rPr>
          <w:rFonts w:ascii="Times New Roman" w:eastAsia="Times New Roman" w:hAnsi="Times New Roman" w:cs="Times New Roman"/>
          <w:iCs/>
          <w:sz w:val="24"/>
          <w:szCs w:val="24"/>
        </w:rPr>
      </w:pPr>
      <w:r w:rsidRPr="00D62A12">
        <w:rPr>
          <w:rFonts w:ascii="Times New Roman" w:eastAsia="Calibri" w:hAnsi="Times New Roman" w:cs="Times New Roman"/>
          <w:color w:val="000000" w:themeColor="text1"/>
          <w:sz w:val="24"/>
          <w:szCs w:val="24"/>
        </w:rPr>
        <w:t xml:space="preserve">Kata Kunci : </w:t>
      </w:r>
      <w:r w:rsidRPr="00D62A12">
        <w:rPr>
          <w:rFonts w:ascii="Times New Roman" w:eastAsia="Times New Roman" w:hAnsi="Times New Roman" w:cs="Times New Roman"/>
          <w:i/>
          <w:iCs/>
          <w:sz w:val="24"/>
          <w:szCs w:val="24"/>
        </w:rPr>
        <w:t xml:space="preserve">Non Performing Financing, </w:t>
      </w:r>
      <w:r w:rsidRPr="00D62A12">
        <w:rPr>
          <w:rFonts w:ascii="Times New Roman" w:eastAsia="Times New Roman" w:hAnsi="Times New Roman" w:cs="Times New Roman"/>
          <w:iCs/>
          <w:sz w:val="24"/>
          <w:szCs w:val="24"/>
        </w:rPr>
        <w:t xml:space="preserve">Risiko Likuiditas, </w:t>
      </w:r>
      <w:r w:rsidRPr="00D62A12">
        <w:rPr>
          <w:rFonts w:ascii="Times New Roman" w:eastAsia="Times New Roman" w:hAnsi="Times New Roman" w:cs="Times New Roman"/>
          <w:i/>
          <w:iCs/>
          <w:sz w:val="24"/>
          <w:szCs w:val="24"/>
        </w:rPr>
        <w:t xml:space="preserve">Bank Capitalization, </w:t>
      </w:r>
      <w:r w:rsidRPr="00D62A12">
        <w:rPr>
          <w:rFonts w:ascii="Times New Roman" w:eastAsia="Calibri" w:hAnsi="Times New Roman" w:cs="Times New Roman"/>
          <w:i/>
          <w:color w:val="000000" w:themeColor="text1"/>
          <w:sz w:val="24"/>
          <w:szCs w:val="24"/>
        </w:rPr>
        <w:t>Capital Adequacy</w:t>
      </w:r>
      <w:r>
        <w:rPr>
          <w:rFonts w:ascii="Times New Roman" w:eastAsia="Calibri" w:hAnsi="Times New Roman" w:cs="Times New Roman"/>
          <w:i/>
          <w:color w:val="000000" w:themeColor="text1"/>
          <w:sz w:val="24"/>
          <w:szCs w:val="24"/>
        </w:rPr>
        <w:t xml:space="preserve"> Ratio</w:t>
      </w:r>
      <w:r w:rsidRPr="00D62A12">
        <w:rPr>
          <w:rFonts w:ascii="Times New Roman" w:eastAsia="Calibri" w:hAnsi="Times New Roman" w:cs="Times New Roman"/>
          <w:i/>
          <w:color w:val="000000" w:themeColor="text1"/>
          <w:sz w:val="24"/>
          <w:szCs w:val="24"/>
        </w:rPr>
        <w:t xml:space="preserve">, </w:t>
      </w:r>
      <w:r w:rsidRPr="00D62A12">
        <w:rPr>
          <w:rFonts w:ascii="Times New Roman" w:eastAsia="Calibri" w:hAnsi="Times New Roman" w:cs="Times New Roman"/>
          <w:color w:val="000000" w:themeColor="text1"/>
          <w:sz w:val="24"/>
          <w:szCs w:val="24"/>
        </w:rPr>
        <w:t>Inflasi.</w:t>
      </w:r>
    </w:p>
    <w:p w:rsidR="00750CA9" w:rsidRDefault="00C00583"/>
    <w:sectPr w:rsidR="0075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83"/>
    <w:rsid w:val="00740F75"/>
    <w:rsid w:val="00C00583"/>
    <w:rsid w:val="00E8638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DC5AF-6EC0-4F67-B916-8B698504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83"/>
    <w:pPr>
      <w:spacing w:after="200" w:line="276" w:lineRule="auto"/>
    </w:pPr>
  </w:style>
  <w:style w:type="paragraph" w:styleId="Heading1">
    <w:name w:val="heading 1"/>
    <w:basedOn w:val="Normal"/>
    <w:next w:val="Normal"/>
    <w:link w:val="Heading1Char"/>
    <w:autoRedefine/>
    <w:uiPriority w:val="9"/>
    <w:qFormat/>
    <w:rsid w:val="00C00583"/>
    <w:pPr>
      <w:keepNext/>
      <w:keepLines/>
      <w:spacing w:before="240" w:after="0" w:line="480" w:lineRule="auto"/>
      <w:jc w:val="center"/>
      <w:outlineLvl w:val="0"/>
    </w:pPr>
    <w:rPr>
      <w:rFonts w:ascii="Times New Roman" w:eastAsia="Calibri" w:hAnsi="Times New Roman"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583"/>
    <w:rPr>
      <w:rFonts w:ascii="Times New Roman" w:eastAsia="Calibri" w:hAnsi="Times New Roman" w:cstheme="majorBidi"/>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2018-03-27T03:07:00Z</dcterms:created>
  <dcterms:modified xsi:type="dcterms:W3CDTF">2018-03-27T03:08:00Z</dcterms:modified>
</cp:coreProperties>
</file>